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7B446192" w:rsidR="00C01834" w:rsidRPr="00AD2F54" w:rsidRDefault="00EF1F36" w:rsidP="00080DD5">
      <w:pPr>
        <w:pStyle w:val="Bezodstpw"/>
      </w:pPr>
      <w:r w:rsidRPr="00C92EC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B9CB" w14:textId="619A6AA0" w:rsidR="00EF1F36" w:rsidRPr="00900EC6" w:rsidRDefault="00EF1F36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289F" w:rsidRPr="003E289F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Analityk medyczny w badaniach klinicznych i praktyce klinicznej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6CF2B9CB" w14:textId="619A6AA0" w:rsidR="00EF1F36" w:rsidRPr="00900EC6" w:rsidRDefault="00EF1F36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3E289F" w:rsidRPr="003E289F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Analityk medyczny w badaniach klinicznych i praktyce klinicznej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noProof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58037E83" w:rsidR="00470E8F" w:rsidRPr="00C01834" w:rsidRDefault="00C64F71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2024/2025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75972909" w:rsidR="00470E8F" w:rsidRPr="00C01834" w:rsidRDefault="00C64F71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2024/2025</w:t>
            </w:r>
          </w:p>
        </w:tc>
      </w:tr>
      <w:tr w:rsidR="00C01834" w:rsidRPr="00C01834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49886AD6" w:rsidR="00C01834" w:rsidRPr="00C01834" w:rsidRDefault="002F40A4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Wydział </w:t>
            </w:r>
            <w:r w:rsidR="00804EEF" w:rsidRPr="00804EEF">
              <w:rPr>
                <w:color w:val="auto"/>
              </w:rPr>
              <w:t>Farmaceutyczny</w:t>
            </w:r>
          </w:p>
        </w:tc>
      </w:tr>
      <w:tr w:rsidR="00C01834" w:rsidRPr="00C01834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1AFBA8EF" w:rsidR="00C01834" w:rsidRPr="00C01834" w:rsidRDefault="008E03DE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Analityka </w:t>
            </w:r>
            <w:r w:rsidR="002F40A4">
              <w:rPr>
                <w:color w:val="auto"/>
              </w:rPr>
              <w:t>m</w:t>
            </w:r>
            <w:r>
              <w:rPr>
                <w:color w:val="auto"/>
              </w:rPr>
              <w:t>edyczna</w:t>
            </w:r>
          </w:p>
        </w:tc>
      </w:tr>
      <w:tr w:rsidR="00C01834" w:rsidRPr="00C01834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3C63EB88" w:rsidR="00C01834" w:rsidRPr="00C01834" w:rsidRDefault="00804EE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 w:rsidRPr="00804EEF">
              <w:rPr>
                <w:bCs/>
                <w:i/>
                <w:iCs/>
                <w:color w:val="auto"/>
                <w:sz w:val="16"/>
                <w:szCs w:val="20"/>
              </w:rPr>
              <w:t>nauki farmaceutyczne</w:t>
            </w:r>
          </w:p>
        </w:tc>
      </w:tr>
      <w:tr w:rsidR="00C01834" w:rsidRPr="00C01834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12EB09E5" w:rsidR="00C01834" w:rsidRPr="00C01834" w:rsidRDefault="00804EE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04EEF">
              <w:rPr>
                <w:i/>
                <w:iCs/>
                <w:color w:val="auto"/>
                <w:sz w:val="16"/>
                <w:szCs w:val="20"/>
              </w:rPr>
              <w:t>praktyczny</w:t>
            </w:r>
          </w:p>
        </w:tc>
      </w:tr>
      <w:tr w:rsidR="00C01834" w:rsidRPr="00C01834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6F441312" w:rsidR="00C01834" w:rsidRPr="00C01834" w:rsidRDefault="00804EE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04EEF">
              <w:rPr>
                <w:bCs/>
                <w:i/>
                <w:iCs/>
                <w:color w:val="auto"/>
                <w:sz w:val="16"/>
                <w:szCs w:val="20"/>
              </w:rPr>
              <w:t>jednolite magisterskie</w:t>
            </w:r>
          </w:p>
        </w:tc>
      </w:tr>
      <w:tr w:rsidR="00C01834" w:rsidRPr="00C01834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79A6772E" w:rsidR="00C01834" w:rsidRPr="00C01834" w:rsidRDefault="00804EE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04EEF">
              <w:rPr>
                <w:bCs/>
                <w:i/>
                <w:iCs/>
                <w:color w:val="auto"/>
                <w:sz w:val="16"/>
                <w:szCs w:val="20"/>
              </w:rPr>
              <w:t>stacjonarne</w:t>
            </w:r>
          </w:p>
        </w:tc>
      </w:tr>
      <w:tr w:rsidR="00A63CE6" w:rsidRPr="00C01834" w14:paraId="0D56021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2BD65175" w:rsidR="00A63CE6" w:rsidRPr="00C01834" w:rsidRDefault="00804EE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04EEF">
              <w:rPr>
                <w:i/>
                <w:iCs/>
                <w:color w:val="auto"/>
                <w:sz w:val="16"/>
                <w:szCs w:val="20"/>
              </w:rPr>
              <w:t>fakultatywny</w:t>
            </w:r>
          </w:p>
        </w:tc>
      </w:tr>
      <w:tr w:rsidR="00A63CE6" w:rsidRPr="00C01834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09364372" w:rsidR="00A63CE6" w:rsidRPr="00C01834" w:rsidRDefault="00804EE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04EEF">
              <w:rPr>
                <w:bCs/>
                <w:i/>
                <w:iCs/>
                <w:color w:val="auto"/>
                <w:sz w:val="16"/>
                <w:szCs w:val="20"/>
              </w:rPr>
              <w:t>zaliczenie</w:t>
            </w:r>
          </w:p>
        </w:tc>
      </w:tr>
      <w:tr w:rsidR="00A63CE6" w:rsidRPr="00080DD5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693DE6B" w14:textId="77777777" w:rsidR="00804EEF" w:rsidRPr="00804EEF" w:rsidRDefault="00804EEF" w:rsidP="00804EEF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804EEF">
              <w:rPr>
                <w:bCs/>
                <w:i/>
                <w:iCs/>
                <w:color w:val="auto"/>
                <w:sz w:val="16"/>
                <w:szCs w:val="16"/>
              </w:rPr>
              <w:t>Katedra i Zakład Biochemii i Farmakogenomiki</w:t>
            </w:r>
          </w:p>
          <w:p w14:paraId="51C89B84" w14:textId="77777777" w:rsidR="00804EEF" w:rsidRPr="00804EEF" w:rsidRDefault="00804EEF" w:rsidP="00804EEF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804EEF">
              <w:rPr>
                <w:bCs/>
                <w:i/>
                <w:iCs/>
                <w:color w:val="auto"/>
                <w:sz w:val="16"/>
                <w:szCs w:val="16"/>
              </w:rPr>
              <w:t>Wydział Farmaceutyczny</w:t>
            </w:r>
          </w:p>
          <w:p w14:paraId="1802FF55" w14:textId="77777777" w:rsidR="00804EEF" w:rsidRPr="00804EEF" w:rsidRDefault="00804EEF" w:rsidP="00804EEF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804EEF">
              <w:rPr>
                <w:bCs/>
                <w:i/>
                <w:iCs/>
                <w:color w:val="auto"/>
                <w:sz w:val="16"/>
                <w:szCs w:val="16"/>
              </w:rPr>
              <w:t>Warszawski Uniwersytet Medyczny</w:t>
            </w:r>
          </w:p>
          <w:p w14:paraId="460A1454" w14:textId="77777777" w:rsidR="00804EEF" w:rsidRPr="00804EEF" w:rsidRDefault="00804EEF" w:rsidP="00804EEF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804EEF">
              <w:rPr>
                <w:bCs/>
                <w:i/>
                <w:iCs/>
                <w:color w:val="auto"/>
                <w:sz w:val="16"/>
                <w:szCs w:val="16"/>
              </w:rPr>
              <w:t>Ul. Banacha 1, 02-097 Warszawa</w:t>
            </w:r>
          </w:p>
          <w:p w14:paraId="0BBABA0D" w14:textId="77777777" w:rsidR="00804EEF" w:rsidRPr="00804EEF" w:rsidRDefault="00804EEF" w:rsidP="00804EEF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  <w:lang w:val="en-GB"/>
              </w:rPr>
            </w:pPr>
            <w:r w:rsidRPr="00804EEF">
              <w:rPr>
                <w:bCs/>
                <w:i/>
                <w:iCs/>
                <w:color w:val="auto"/>
                <w:sz w:val="16"/>
                <w:szCs w:val="16"/>
                <w:lang w:val="en-GB"/>
              </w:rPr>
              <w:t>Tel./fax: 22 5720735</w:t>
            </w:r>
          </w:p>
          <w:p w14:paraId="3685F30C" w14:textId="15804EE8" w:rsidR="00A63CE6" w:rsidRPr="00804EEF" w:rsidRDefault="00804EEF" w:rsidP="00804EEF">
            <w:pPr>
              <w:spacing w:after="0" w:line="259" w:lineRule="auto"/>
              <w:ind w:left="0" w:firstLine="0"/>
              <w:rPr>
                <w:b/>
                <w:color w:val="auto"/>
                <w:lang w:val="en-GB"/>
              </w:rPr>
            </w:pPr>
            <w:r w:rsidRPr="00804EEF">
              <w:rPr>
                <w:bCs/>
                <w:i/>
                <w:iCs/>
                <w:color w:val="auto"/>
                <w:sz w:val="16"/>
                <w:szCs w:val="16"/>
                <w:lang w:val="en-GB"/>
              </w:rPr>
              <w:t>e-mail: katedrabiochemii@wum.edu.pl</w:t>
            </w:r>
          </w:p>
        </w:tc>
      </w:tr>
      <w:tr w:rsidR="006D018B" w:rsidRPr="00C01834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6E873918" w:rsidR="006D018B" w:rsidRPr="002F40A4" w:rsidRDefault="00804EEF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2F40A4">
              <w:rPr>
                <w:b/>
                <w:color w:val="auto"/>
                <w:szCs w:val="18"/>
              </w:rPr>
              <w:t>Dr hab. Monika Czerwińska</w:t>
            </w:r>
          </w:p>
        </w:tc>
      </w:tr>
      <w:tr w:rsidR="006D018B" w:rsidRPr="00C01834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D018B" w:rsidRPr="003E4EA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3E4EAB">
              <w:rPr>
                <w:b/>
                <w:color w:val="auto"/>
              </w:rPr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604B661" w14:textId="77777777" w:rsidR="00804EEF" w:rsidRPr="003E4EAB" w:rsidRDefault="00804EEF" w:rsidP="00804EEF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20"/>
              </w:rPr>
            </w:pPr>
            <w:r w:rsidRPr="003E4EAB">
              <w:rPr>
                <w:bCs/>
                <w:i/>
                <w:iCs/>
                <w:color w:val="auto"/>
                <w:sz w:val="16"/>
                <w:szCs w:val="20"/>
              </w:rPr>
              <w:t>Dr hab. Monika Czerwińska</w:t>
            </w:r>
          </w:p>
          <w:p w14:paraId="1D975D70" w14:textId="2DD5AFC2" w:rsidR="006D018B" w:rsidRPr="003E4EAB" w:rsidRDefault="00804EEF" w:rsidP="00804EEF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3E4EAB">
              <w:rPr>
                <w:bCs/>
                <w:i/>
                <w:iCs/>
                <w:color w:val="auto"/>
                <w:sz w:val="16"/>
                <w:szCs w:val="20"/>
              </w:rPr>
              <w:t>e-mail: monika.czerwinska@wum.edu.pl</w:t>
            </w:r>
          </w:p>
        </w:tc>
      </w:tr>
      <w:tr w:rsidR="006D018B" w:rsidRPr="00C01834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1FAE661D" w:rsidR="006D018B" w:rsidRPr="003E4EA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3E4EAB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EDBA0F" w14:textId="7E4E3017" w:rsidR="00804EEF" w:rsidRPr="003E4EAB" w:rsidRDefault="00804EEF" w:rsidP="00804EEF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20"/>
              </w:rPr>
            </w:pPr>
            <w:r w:rsidRPr="003E4EAB">
              <w:rPr>
                <w:bCs/>
                <w:i/>
                <w:iCs/>
                <w:color w:val="auto"/>
                <w:sz w:val="16"/>
                <w:szCs w:val="20"/>
              </w:rPr>
              <w:t>Dr hab. Monika Czerwińska</w:t>
            </w:r>
          </w:p>
          <w:p w14:paraId="4F3E18BC" w14:textId="7707B8EC" w:rsidR="006D018B" w:rsidRPr="003E4EAB" w:rsidRDefault="00804EEF" w:rsidP="00804EEF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3E4EAB">
              <w:rPr>
                <w:bCs/>
                <w:i/>
                <w:iCs/>
                <w:color w:val="auto"/>
                <w:sz w:val="16"/>
                <w:szCs w:val="20"/>
              </w:rPr>
              <w:t>e-mail: monika.czerwinska@wum.edu.pl</w:t>
            </w:r>
          </w:p>
        </w:tc>
      </w:tr>
      <w:tr w:rsidR="006D018B" w:rsidRPr="00C01834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3E4EA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3E4EAB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F14D2DF" w14:textId="77777777" w:rsidR="00804EEF" w:rsidRPr="002F40A4" w:rsidRDefault="00804EEF" w:rsidP="00804EEF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2F40A4">
              <w:rPr>
                <w:b/>
                <w:color w:val="auto"/>
                <w:szCs w:val="18"/>
              </w:rPr>
              <w:t>Prof. dr hab. Grażyna Nowicka</w:t>
            </w:r>
          </w:p>
          <w:p w14:paraId="58CAB0FD" w14:textId="77777777" w:rsidR="006D018B" w:rsidRPr="002F40A4" w:rsidRDefault="00804EEF" w:rsidP="00804EEF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2F40A4">
              <w:rPr>
                <w:b/>
                <w:color w:val="auto"/>
                <w:szCs w:val="18"/>
              </w:rPr>
              <w:t>Dr hab. Monika Czerwińska</w:t>
            </w:r>
          </w:p>
          <w:p w14:paraId="2D0C66FD" w14:textId="1A2BDC48" w:rsidR="00804EEF" w:rsidRPr="003E4EAB" w:rsidRDefault="00804EEF" w:rsidP="00804EE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F40A4">
              <w:rPr>
                <w:b/>
                <w:color w:val="auto"/>
                <w:szCs w:val="18"/>
              </w:rPr>
              <w:t>Mgr farm. Magdalena Zielińska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lastRenderedPageBreak/>
              <w:t>Informacje podstawowe</w:t>
            </w:r>
          </w:p>
        </w:tc>
      </w:tr>
      <w:tr w:rsidR="00C92ECE" w:rsidRPr="00C01834" w14:paraId="64C7F4EA" w14:textId="77777777" w:rsidTr="00194BD6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194BD6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94BD6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4784FA8" w14:textId="3D848133" w:rsidR="00C92ECE" w:rsidRPr="00194BD6" w:rsidRDefault="00F6220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="00804EEF" w:rsidRPr="00194BD6">
              <w:rPr>
                <w:color w:val="auto"/>
              </w:rPr>
              <w:t xml:space="preserve"> rok, </w:t>
            </w:r>
            <w:r>
              <w:rPr>
                <w:color w:val="auto"/>
              </w:rPr>
              <w:t>X</w:t>
            </w:r>
            <w:r w:rsidR="00804EEF" w:rsidRPr="00194BD6">
              <w:rPr>
                <w:color w:val="auto"/>
              </w:rPr>
              <w:t xml:space="preserve"> semestr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194BD6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194BD6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1DD25859" w:rsidR="00C92ECE" w:rsidRPr="00194BD6" w:rsidRDefault="00804EEF" w:rsidP="00D773DA">
            <w:pPr>
              <w:spacing w:after="160" w:line="259" w:lineRule="auto"/>
              <w:ind w:left="0"/>
              <w:rPr>
                <w:color w:val="auto"/>
              </w:rPr>
            </w:pPr>
            <w:r w:rsidRPr="00194BD6">
              <w:rPr>
                <w:color w:val="auto"/>
              </w:rPr>
              <w:t>2</w:t>
            </w:r>
            <w:r w:rsidR="00C92ECE" w:rsidRPr="00194BD6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745B47FA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7CC0326C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5B561904" w:rsidR="00C01834" w:rsidRPr="00C01834" w:rsidRDefault="00F6220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49A291CD" w:rsidR="00C01834" w:rsidRPr="00C01834" w:rsidRDefault="00F6220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1,4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2F14D51B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6CE52DA4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7DC260A0" w:rsidR="00C01834" w:rsidRPr="00C01834" w:rsidRDefault="00D95D1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F84E30">
              <w:rPr>
                <w:color w:val="auto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4B4A809E" w:rsidR="00C01834" w:rsidRPr="00C01834" w:rsidRDefault="00D95D1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E10382">
              <w:rPr>
                <w:color w:val="auto"/>
              </w:rPr>
              <w:t>6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380B4481" w:rsidR="00C01834" w:rsidRPr="00C01834" w:rsidRDefault="00831117" w:rsidP="00D773DA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831117">
              <w:rPr>
                <w:color w:val="auto"/>
              </w:rPr>
              <w:t xml:space="preserve">zapoznanie studentów z wybranymi zagadnieniami </w:t>
            </w:r>
            <w:r>
              <w:rPr>
                <w:color w:val="auto"/>
              </w:rPr>
              <w:t xml:space="preserve">związanymi z </w:t>
            </w:r>
            <w:r w:rsidRPr="00831117">
              <w:rPr>
                <w:color w:val="auto"/>
              </w:rPr>
              <w:t>planowani</w:t>
            </w:r>
            <w:r>
              <w:rPr>
                <w:color w:val="auto"/>
              </w:rPr>
              <w:t>em</w:t>
            </w:r>
            <w:r w:rsidRPr="00831117">
              <w:rPr>
                <w:color w:val="auto"/>
              </w:rPr>
              <w:t>, prowadzeni</w:t>
            </w:r>
            <w:r>
              <w:rPr>
                <w:color w:val="auto"/>
              </w:rPr>
              <w:t>em</w:t>
            </w:r>
            <w:r w:rsidRPr="00831117">
              <w:rPr>
                <w:color w:val="auto"/>
              </w:rPr>
              <w:t xml:space="preserve"> </w:t>
            </w:r>
            <w:r>
              <w:rPr>
                <w:color w:val="auto"/>
              </w:rPr>
              <w:t>oraz</w:t>
            </w:r>
            <w:r w:rsidRPr="00831117">
              <w:rPr>
                <w:color w:val="auto"/>
              </w:rPr>
              <w:t xml:space="preserve"> monitorowani</w:t>
            </w:r>
            <w:r>
              <w:rPr>
                <w:color w:val="auto"/>
              </w:rPr>
              <w:t>em</w:t>
            </w:r>
            <w:r w:rsidRPr="00831117">
              <w:rPr>
                <w:color w:val="auto"/>
              </w:rPr>
              <w:t xml:space="preserve"> badań klinicznych, </w:t>
            </w:r>
            <w:r>
              <w:rPr>
                <w:color w:val="auto"/>
              </w:rPr>
              <w:t xml:space="preserve">ze szczególnym uwzględnieniem monitorowania bezpieczeństwa pacjentów w badaniach klinicznych oraz po wprowadzeniu produktu leczniczego do obrotu, wraz z przedstawieniem przykładowych obszarów aktywności </w:t>
            </w:r>
            <w:r w:rsidR="00267E68">
              <w:rPr>
                <w:color w:val="auto"/>
              </w:rPr>
              <w:t>analityków medycznych</w:t>
            </w:r>
            <w:r>
              <w:rPr>
                <w:color w:val="auto"/>
              </w:rPr>
              <w:t xml:space="preserve"> w bada</w:t>
            </w:r>
            <w:r w:rsidR="00BB0D9A">
              <w:rPr>
                <w:color w:val="auto"/>
              </w:rPr>
              <w:t>niach</w:t>
            </w:r>
            <w:r>
              <w:rPr>
                <w:color w:val="auto"/>
              </w:rPr>
              <w:t xml:space="preserve"> klinicznych</w:t>
            </w:r>
          </w:p>
        </w:tc>
      </w:tr>
      <w:tr w:rsidR="00C01834" w:rsidRPr="00C01834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2F834945" w:rsidR="00C01834" w:rsidRPr="00C01834" w:rsidRDefault="006C55B5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55B5">
              <w:rPr>
                <w:color w:val="auto"/>
              </w:rPr>
              <w:t xml:space="preserve">kształtowanie umiejętności stosowania wiedzy biochemicznej do analizy i oceny procesów fizjologicznych i patologicznych 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927DB5A" w14:textId="77777777" w:rsidR="000B044D" w:rsidRDefault="006C55B5" w:rsidP="006C55B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0B044D">
              <w:rPr>
                <w:b/>
                <w:color w:val="auto"/>
              </w:rPr>
              <w:t xml:space="preserve">Efekty w zakresie: </w:t>
            </w:r>
          </w:p>
          <w:p w14:paraId="54CD841B" w14:textId="28611454" w:rsidR="0017753E" w:rsidRDefault="0017753E" w:rsidP="006C55B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7753E">
              <w:rPr>
                <w:b/>
                <w:color w:val="auto"/>
              </w:rPr>
              <w:t>B. N</w:t>
            </w:r>
            <w:r w:rsidR="0075797E" w:rsidRPr="0017753E">
              <w:rPr>
                <w:b/>
                <w:color w:val="auto"/>
              </w:rPr>
              <w:t xml:space="preserve">auki chemiczne i elementy statystyki </w:t>
            </w:r>
          </w:p>
          <w:p w14:paraId="51D8A45A" w14:textId="2F55AD8A" w:rsidR="00112BA8" w:rsidRDefault="00112BA8" w:rsidP="006C55B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12BA8">
              <w:rPr>
                <w:b/>
                <w:color w:val="auto"/>
              </w:rPr>
              <w:t>C. N</w:t>
            </w:r>
            <w:r w:rsidR="0075797E" w:rsidRPr="00112BA8">
              <w:rPr>
                <w:b/>
                <w:color w:val="auto"/>
              </w:rPr>
              <w:t xml:space="preserve">auki behawioralne i społeczne </w:t>
            </w:r>
          </w:p>
          <w:p w14:paraId="4BD8896C" w14:textId="77777777" w:rsidR="000B044D" w:rsidRDefault="00D506AD" w:rsidP="006C55B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D506AD">
              <w:rPr>
                <w:b/>
                <w:color w:val="auto"/>
              </w:rPr>
              <w:t>D. N</w:t>
            </w:r>
            <w:r w:rsidR="0075797E" w:rsidRPr="00D506AD">
              <w:rPr>
                <w:b/>
                <w:color w:val="auto"/>
              </w:rPr>
              <w:t xml:space="preserve">auki kliniczne oraz prawne i organizacyjne aspekty medycyny laboratoryjnej </w:t>
            </w:r>
          </w:p>
          <w:p w14:paraId="58763977" w14:textId="4D1CCDC6" w:rsidR="005B52D3" w:rsidRPr="000B044D" w:rsidRDefault="005B52D3" w:rsidP="006C55B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NiSW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17753E" w:rsidRPr="00C01834" w14:paraId="36B06BB6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6B2968D" w14:textId="5F82F5E5" w:rsidR="0017753E" w:rsidRPr="004467F4" w:rsidRDefault="00601A5C" w:rsidP="004467F4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601A5C">
              <w:rPr>
                <w:color w:val="auto"/>
              </w:rPr>
              <w:t>B.W21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C467982" w14:textId="0B1524B7" w:rsidR="0017753E" w:rsidRPr="00A049A4" w:rsidRDefault="00601A5C" w:rsidP="004467F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01A5C">
              <w:rPr>
                <w:color w:val="auto"/>
              </w:rPr>
              <w:t>zasady prowadzenia badań obserwacyjnych, doświadczalnych oraz in vitro, służących rozwojowi medycyny laboratoryjnej</w:t>
            </w:r>
          </w:p>
        </w:tc>
      </w:tr>
      <w:tr w:rsidR="004467F4" w:rsidRPr="00C01834" w14:paraId="25FEEE9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1D611CC5" w:rsidR="004467F4" w:rsidRPr="00C01834" w:rsidRDefault="004467F4" w:rsidP="004467F4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4467F4">
              <w:rPr>
                <w:color w:val="auto"/>
              </w:rPr>
              <w:t>C.W4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505BED0A" w:rsidR="004467F4" w:rsidRPr="00C01834" w:rsidRDefault="004467F4" w:rsidP="004467F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049A4">
              <w:rPr>
                <w:color w:val="auto"/>
              </w:rPr>
              <w:t>podstawy medycyny opartej na dowodach</w:t>
            </w:r>
          </w:p>
        </w:tc>
      </w:tr>
      <w:tr w:rsidR="001B3E73" w:rsidRPr="00C01834" w14:paraId="51315497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41A8FBB" w14:textId="7D9FC96C" w:rsidR="001B3E73" w:rsidRPr="009376BD" w:rsidRDefault="001B3E73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D.W1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A08DDC9" w14:textId="0B6D247B" w:rsidR="001B3E73" w:rsidRPr="009376BD" w:rsidRDefault="00996B4B" w:rsidP="006C55B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pojęcie choroby, jako następstwa zmiany struktury i funkcji komórek, tkanek i narządów</w:t>
            </w:r>
          </w:p>
        </w:tc>
      </w:tr>
      <w:tr w:rsidR="00A049A4" w:rsidRPr="00C01834" w14:paraId="5A87CB0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3282453" w14:textId="3199845D" w:rsidR="00A049A4" w:rsidRPr="009376BD" w:rsidRDefault="00A049A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9376BD">
              <w:rPr>
                <w:color w:val="auto"/>
              </w:rPr>
              <w:t>D.W2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6064B69" w14:textId="4ECB5DB0" w:rsidR="00A049A4" w:rsidRPr="009376BD" w:rsidRDefault="00A049A4" w:rsidP="006C55B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376BD">
              <w:rPr>
                <w:color w:val="auto"/>
              </w:rPr>
              <w:t>wybrane choroby, ich symptomatologię i etiopatogenezę</w:t>
            </w:r>
          </w:p>
        </w:tc>
      </w:tr>
      <w:tr w:rsidR="00C01834" w:rsidRPr="00C01834" w14:paraId="257A5CD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6977B29C" w:rsidR="00C01834" w:rsidRPr="009376BD" w:rsidRDefault="00223962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9376BD">
              <w:rPr>
                <w:color w:val="auto"/>
              </w:rPr>
              <w:t>D.W3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3B6ABA" w14:textId="31050F22" w:rsidR="00C01834" w:rsidRPr="009376BD" w:rsidRDefault="00223962" w:rsidP="006C55B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376BD">
              <w:rPr>
                <w:color w:val="auto"/>
              </w:rPr>
              <w:t>rolę laboratoryjnych badań diagnostycznych w rozpoznawaniu schorzeń i rokowaniu oraz monitorowaniu terapii</w:t>
            </w:r>
          </w:p>
        </w:tc>
      </w:tr>
      <w:tr w:rsidR="004A2784" w:rsidRPr="00C01834" w14:paraId="0CF51DD8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52B3AA5" w14:textId="1D1F4ADE" w:rsidR="004A2784" w:rsidRPr="00223962" w:rsidRDefault="004A2784" w:rsidP="004A2784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8275DB">
              <w:t>D.W6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675B6DE" w14:textId="36137D85" w:rsidR="004A2784" w:rsidRPr="00223962" w:rsidRDefault="004A2784" w:rsidP="004A278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275DB">
              <w:t>prawa pacjenta i konsekwencje prawne ich naruszenia</w:t>
            </w:r>
          </w:p>
        </w:tc>
      </w:tr>
      <w:tr w:rsidR="00424272" w:rsidRPr="00C01834" w14:paraId="0D354759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56A9EB4" w14:textId="5487F446" w:rsidR="00424272" w:rsidRPr="00223962" w:rsidRDefault="00C9789C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9789C">
              <w:rPr>
                <w:color w:val="auto"/>
              </w:rPr>
              <w:t>D.W15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657466A" w14:textId="18BC7D55" w:rsidR="00424272" w:rsidRPr="00223962" w:rsidRDefault="00C9789C" w:rsidP="006C55B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9789C">
              <w:rPr>
                <w:color w:val="auto"/>
              </w:rPr>
              <w:t>zasady badań biomedycznych prowadzonych z udziałem ludzi oraz badań z udziałem zwierząt</w:t>
            </w:r>
          </w:p>
        </w:tc>
      </w:tr>
      <w:tr w:rsidR="00C01834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4302D0" w:rsidRPr="00C01834" w14:paraId="7BC6D4A1" w14:textId="77777777" w:rsidTr="009376B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508601" w14:textId="7EB30229" w:rsidR="004302D0" w:rsidRPr="00927DA2" w:rsidRDefault="004302D0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302D0">
              <w:rPr>
                <w:color w:val="auto"/>
              </w:rPr>
              <w:t>B.U13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B31AD01" w14:textId="56CFEC70" w:rsidR="004302D0" w:rsidRPr="00D82F71" w:rsidRDefault="004302D0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302D0">
              <w:rPr>
                <w:color w:val="auto"/>
              </w:rPr>
              <w:t>wyjaśniać różnice między badaniami prospektywnymi i retrospektywnymi, randomizowanymi i kliniczno-kontrolnymi, opisami przypadków i badaniami eksperymentalnymi oraz szeregować je według wiarygodności i jakości dowodów naukowych</w:t>
            </w:r>
          </w:p>
        </w:tc>
      </w:tr>
      <w:tr w:rsidR="004302D0" w:rsidRPr="00C01834" w14:paraId="52CF28B2" w14:textId="77777777" w:rsidTr="009376B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6986758" w14:textId="6236DC09" w:rsidR="004302D0" w:rsidRPr="00927DA2" w:rsidRDefault="004302D0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927DA2">
              <w:rPr>
                <w:color w:val="auto"/>
              </w:rPr>
              <w:t>C.U1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C1A476" w14:textId="1DA10C61" w:rsidR="004302D0" w:rsidRPr="004302D0" w:rsidRDefault="004302D0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82F71">
              <w:rPr>
                <w:color w:val="auto"/>
              </w:rPr>
              <w:t>stosować wiedzę z zakresu medycyny laboratoryjnej opartej na dowodach naukowych</w:t>
            </w:r>
          </w:p>
        </w:tc>
      </w:tr>
      <w:tr w:rsidR="00C01834" w:rsidRPr="00C01834" w14:paraId="20A16B5E" w14:textId="77777777" w:rsidTr="009376B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6DA4391B" w:rsidR="00C01834" w:rsidRPr="009376BD" w:rsidRDefault="00C92ACF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9376BD">
              <w:rPr>
                <w:color w:val="auto"/>
              </w:rPr>
              <w:t>D.U1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E8287D2" w14:textId="2101A2D1" w:rsidR="00C01834" w:rsidRPr="009376BD" w:rsidRDefault="00C92ACF" w:rsidP="006C55B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376BD">
              <w:rPr>
                <w:color w:val="auto"/>
              </w:rPr>
              <w:t>wyjaśniać związki pomiędzy nieprawidłowymi funkcjami tkanek, narządów i układów a objawami klinicznymi</w:t>
            </w:r>
          </w:p>
        </w:tc>
      </w:tr>
      <w:tr w:rsidR="006C55B5" w:rsidRPr="00C01834" w14:paraId="1E4471EC" w14:textId="77777777" w:rsidTr="009376B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F6DFF1A" w14:textId="502FB9F8" w:rsidR="006C55B5" w:rsidRPr="009376BD" w:rsidRDefault="00C92ACF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9376BD">
              <w:rPr>
                <w:color w:val="auto"/>
              </w:rPr>
              <w:t>D.U2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9E055B3" w14:textId="41F9A37C" w:rsidR="006C55B5" w:rsidRPr="009376BD" w:rsidRDefault="005802A3" w:rsidP="006C55B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376BD">
              <w:rPr>
                <w:color w:val="auto"/>
              </w:rPr>
              <w:t>opisywać symptomatologię chorób oraz proponować model postępowania diagnostyczno-farmakologicznego</w:t>
            </w:r>
          </w:p>
        </w:tc>
      </w:tr>
      <w:tr w:rsidR="001C2CE4" w:rsidRPr="00C01834" w14:paraId="20DE1CA1" w14:textId="77777777" w:rsidTr="009376B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DDFA0B" w14:textId="51FE2DFE" w:rsidR="001C2CE4" w:rsidRPr="00C92ACF" w:rsidRDefault="001C2CE4" w:rsidP="001C2CE4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960014">
              <w:t>D.U6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DCE5D4C" w14:textId="4F40D2E8" w:rsidR="001C2CE4" w:rsidRPr="005802A3" w:rsidRDefault="00BB0D9A" w:rsidP="001C2CE4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przestrzegać praw pacjenta, w tym w szczególności prawa do informacji o stanie zdrowia, prawa do zachowania w tajemnicy informacji związanych z pacjentem, prawa do poszanowania intymności i godności oraz prawa do dokumentacji medycznej</w:t>
            </w: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>*W załącznikach do Rozporządzenia Ministra NiSW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D8CF2F" w14:textId="05D85AE3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23A5BFEB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8C04E73" w14:textId="58D90B75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19996697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E952C6" w:rsidRPr="00C01834" w14:paraId="1F8A43F4" w14:textId="63B63775" w:rsidTr="00BC19F2">
        <w:trPr>
          <w:trHeight w:val="265"/>
        </w:trPr>
        <w:tc>
          <w:tcPr>
            <w:tcW w:w="2252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318FC8DC" w:rsidR="00E952C6" w:rsidRPr="00C01834" w:rsidRDefault="00E952C6" w:rsidP="00183931">
            <w:pPr>
              <w:spacing w:after="0" w:line="259" w:lineRule="auto"/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Seminaria</w:t>
            </w:r>
          </w:p>
        </w:tc>
        <w:tc>
          <w:tcPr>
            <w:tcW w:w="5387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8370B56" w14:textId="1003D695" w:rsidR="00E952C6" w:rsidRPr="00BC6D84" w:rsidRDefault="00E952C6" w:rsidP="0018393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BC6D84">
              <w:rPr>
                <w:color w:val="auto"/>
              </w:rPr>
              <w:t xml:space="preserve">1.Podstawy evidence based medicine, hierarchia </w:t>
            </w:r>
            <w:r>
              <w:rPr>
                <w:color w:val="auto"/>
              </w:rPr>
              <w:t xml:space="preserve">oraz rodzaje </w:t>
            </w:r>
            <w:r w:rsidRPr="00BC6D84">
              <w:rPr>
                <w:color w:val="auto"/>
              </w:rPr>
              <w:t>bada</w:t>
            </w:r>
            <w:r>
              <w:rPr>
                <w:color w:val="auto"/>
              </w:rPr>
              <w:t>ń</w:t>
            </w:r>
            <w:r w:rsidRPr="00BC6D84">
              <w:rPr>
                <w:color w:val="auto"/>
              </w:rPr>
              <w:t xml:space="preserve"> naukowych</w:t>
            </w:r>
            <w:r>
              <w:rPr>
                <w:color w:val="auto"/>
              </w:rPr>
              <w:t xml:space="preserve"> w medycynie.</w:t>
            </w:r>
          </w:p>
          <w:p w14:paraId="71BA45BB" w14:textId="3E610087" w:rsidR="00E952C6" w:rsidRDefault="00E952C6" w:rsidP="0018393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S2. Badania kliniczne – podstawowe definicje oraz regulacje prawne, fazy badań klinicznych, analityk medyczny w badaniach klinicznych – możliwe ścieżki rozwoju.</w:t>
            </w:r>
          </w:p>
          <w:p w14:paraId="27BAE719" w14:textId="7864DBF9" w:rsidR="00E952C6" w:rsidRDefault="00E952C6" w:rsidP="0018393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S3. Kluczowe aktywności oraz dokumentacja przed rozpoczęciem badania klinicznego.</w:t>
            </w:r>
          </w:p>
          <w:p w14:paraId="39DBB303" w14:textId="5773D966" w:rsidR="00E952C6" w:rsidRDefault="00E952C6" w:rsidP="0018393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S4. Kluczowe aktywności oraz dokumentacja w trakcie prowadzenia badania klinicznego oraz po zakończeniu badania klinicznego.</w:t>
            </w:r>
          </w:p>
          <w:p w14:paraId="28575B9D" w14:textId="77777777" w:rsidR="00E952C6" w:rsidRPr="00C01834" w:rsidRDefault="00E952C6" w:rsidP="0018393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S5. Monitorowanie bezpieczeństwa pacjentów w badaniach klinicznych i po wprowadzeniu produktu leczniczego do obrotu.</w:t>
            </w:r>
          </w:p>
          <w:p w14:paraId="3A625400" w14:textId="77777777" w:rsidR="00E952C6" w:rsidRPr="006C55B5" w:rsidRDefault="00E952C6" w:rsidP="0018393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S6</w:t>
            </w:r>
            <w:r w:rsidRPr="006C55B5">
              <w:rPr>
                <w:color w:val="auto"/>
              </w:rPr>
              <w:t>. Schorzenia metaboliczne (cukrzyca, otyłość) – parametry i metody diagnostyczne na przykładzie wybranych przypadków klinicznych</w:t>
            </w:r>
          </w:p>
          <w:p w14:paraId="693D6627" w14:textId="77777777" w:rsidR="00E952C6" w:rsidRPr="006C55B5" w:rsidRDefault="00E952C6" w:rsidP="0018393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S7</w:t>
            </w:r>
            <w:r w:rsidRPr="006C55B5">
              <w:rPr>
                <w:color w:val="auto"/>
              </w:rPr>
              <w:t>. Choroby układu krążenia – parametry i metody diagnostyczne na przykładzie wybranych przypadków klinicznych</w:t>
            </w:r>
          </w:p>
          <w:p w14:paraId="7384E46B" w14:textId="77777777" w:rsidR="00E952C6" w:rsidRDefault="00E952C6" w:rsidP="0018393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S8</w:t>
            </w:r>
            <w:r w:rsidRPr="006C55B5">
              <w:rPr>
                <w:color w:val="auto"/>
              </w:rPr>
              <w:t>. Choroby wewnętrzne – parametry i metody diagnostyczne na przykładzie wybranych przypadków klinicznych</w:t>
            </w:r>
          </w:p>
          <w:p w14:paraId="4C3BDF8C" w14:textId="77777777" w:rsidR="00E952C6" w:rsidRDefault="00E952C6" w:rsidP="0018393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S9. Rekrutacja uczestników badania klinicznego - analiza przykładowej historii medycznej pacjentów w kontekście kryteriów włączenia i wyłączenia dla wybranych protokołów badań klinicznych.</w:t>
            </w:r>
          </w:p>
          <w:p w14:paraId="0485E40C" w14:textId="2FFBCF4F" w:rsidR="00E952C6" w:rsidRPr="00C01834" w:rsidRDefault="00E952C6" w:rsidP="00183931">
            <w:pPr>
              <w:spacing w:after="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S10. Zgłaszanie działań niepożądanych – warsztaty z uzupełniania formularzy oraz oceny kompletności zgłoszenia.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7A63EF" w14:textId="44D084BF" w:rsidR="00E952C6" w:rsidRPr="00C01834" w:rsidRDefault="00E952C6" w:rsidP="0018393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 xml:space="preserve">B.W21, C.W4, </w:t>
            </w:r>
            <w:r w:rsidRPr="008275DB">
              <w:t>D.W6</w:t>
            </w:r>
            <w:r>
              <w:t xml:space="preserve">, </w:t>
            </w:r>
            <w:r w:rsidRPr="00C9789C">
              <w:rPr>
                <w:color w:val="auto"/>
              </w:rPr>
              <w:t>D.W15</w:t>
            </w:r>
            <w:r>
              <w:rPr>
                <w:color w:val="auto"/>
              </w:rPr>
              <w:t xml:space="preserve">, </w:t>
            </w:r>
            <w:r>
              <w:t xml:space="preserve">B.U13, C.U1, </w:t>
            </w:r>
            <w:r w:rsidRPr="00960014">
              <w:t>D.U6</w:t>
            </w:r>
          </w:p>
        </w:tc>
      </w:tr>
      <w:tr w:rsidR="00E952C6" w:rsidRPr="00C01834" w14:paraId="6B8FA3CA" w14:textId="5258BF42" w:rsidTr="00BC19F2">
        <w:trPr>
          <w:trHeight w:val="265"/>
        </w:trPr>
        <w:tc>
          <w:tcPr>
            <w:tcW w:w="2252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00B1C0A2" w:rsidR="00E952C6" w:rsidRPr="00C01834" w:rsidRDefault="00E952C6" w:rsidP="00183931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AFAD14" w14:textId="3DD94BAD" w:rsidR="00E952C6" w:rsidRPr="00C01834" w:rsidRDefault="00E952C6" w:rsidP="00183931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AE3559" w14:textId="0CBD1304" w:rsidR="00E952C6" w:rsidRPr="005C7BBB" w:rsidRDefault="00E952C6" w:rsidP="009B1AF4">
            <w:pPr>
              <w:spacing w:after="0" w:line="259" w:lineRule="auto"/>
              <w:ind w:left="0" w:firstLine="0"/>
            </w:pPr>
            <w:r w:rsidRPr="005C7BBB">
              <w:t xml:space="preserve">B.W21, C.W4, D.W1, D.W2, D.W3, D.W6, </w:t>
            </w:r>
            <w:r w:rsidRPr="005C7BBB">
              <w:rPr>
                <w:color w:val="auto"/>
              </w:rPr>
              <w:t xml:space="preserve">D.W15, </w:t>
            </w:r>
            <w:r w:rsidRPr="005C7BBB">
              <w:t>B.U13, C.U1, D.U1, D.U2, D.U6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D903473" w14:textId="77777777" w:rsidR="006C55B5" w:rsidRDefault="006C55B5" w:rsidP="006C55B5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color w:val="auto"/>
              </w:rPr>
            </w:pPr>
            <w:r w:rsidRPr="009D6735">
              <w:rPr>
                <w:color w:val="auto"/>
              </w:rPr>
              <w:t>Dembińska-Kieć A., Naskalski J. „Diagnostyka laboratoryjna z elementami biochemii klinicznej”. Elsevier Urban &amp; Partner, Wrocław, 2018.</w:t>
            </w:r>
          </w:p>
          <w:p w14:paraId="31D1EB56" w14:textId="77777777" w:rsidR="006C55B5" w:rsidRDefault="006C55B5" w:rsidP="006C55B5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color w:val="auto"/>
              </w:rPr>
            </w:pPr>
            <w:r w:rsidRPr="006C55B5">
              <w:rPr>
                <w:color w:val="auto"/>
              </w:rPr>
              <w:t>Gajewski P. „Interna Szczeklika 2019/2020. Mały podręcznik.” Medycyna Praktyczna, Karków 2019</w:t>
            </w:r>
          </w:p>
          <w:p w14:paraId="6772BAA6" w14:textId="12E216A0" w:rsidR="00831117" w:rsidRPr="00831117" w:rsidRDefault="00831117" w:rsidP="008311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color w:val="auto"/>
              </w:rPr>
            </w:pPr>
            <w:r w:rsidRPr="00831117">
              <w:rPr>
                <w:color w:val="auto"/>
              </w:rPr>
              <w:t xml:space="preserve">Brodniewicz T. </w:t>
            </w:r>
            <w:r w:rsidR="009F6D79">
              <w:rPr>
                <w:color w:val="auto"/>
              </w:rPr>
              <w:t>„</w:t>
            </w:r>
            <w:r w:rsidRPr="00831117">
              <w:rPr>
                <w:color w:val="auto"/>
              </w:rPr>
              <w:t>Badania kliniczne</w:t>
            </w:r>
            <w:r w:rsidR="009F6D79">
              <w:rPr>
                <w:color w:val="auto"/>
              </w:rPr>
              <w:t>”</w:t>
            </w:r>
            <w:r w:rsidRPr="00831117">
              <w:rPr>
                <w:color w:val="auto"/>
              </w:rPr>
              <w:t>. Wydawnictwo CeDeWu</w:t>
            </w:r>
            <w:r w:rsidR="009F6D79">
              <w:rPr>
                <w:color w:val="auto"/>
              </w:rPr>
              <w:t xml:space="preserve"> 2020</w:t>
            </w:r>
          </w:p>
          <w:p w14:paraId="10528821" w14:textId="5AEA789A" w:rsidR="00831117" w:rsidRPr="006C55B5" w:rsidRDefault="00831117" w:rsidP="00831117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color w:val="auto"/>
              </w:rPr>
            </w:pPr>
            <w:r w:rsidRPr="00831117">
              <w:rPr>
                <w:color w:val="auto"/>
              </w:rPr>
              <w:t xml:space="preserve">Maciejczyk A., Kruk M. </w:t>
            </w:r>
            <w:r w:rsidR="009F6D79">
              <w:rPr>
                <w:color w:val="auto"/>
              </w:rPr>
              <w:t>„</w:t>
            </w:r>
            <w:r w:rsidRPr="00831117">
              <w:rPr>
                <w:color w:val="auto"/>
              </w:rPr>
              <w:t>Bezpieczeństwo farmakoterapii. Podręcznik pharmacovigilance</w:t>
            </w:r>
            <w:r w:rsidR="009F6D79">
              <w:rPr>
                <w:color w:val="auto"/>
              </w:rPr>
              <w:t>”</w:t>
            </w:r>
            <w:r w:rsidRPr="00831117">
              <w:rPr>
                <w:color w:val="auto"/>
              </w:rPr>
              <w:t>. Wydawnictwo MediPage</w:t>
            </w:r>
            <w:r w:rsidR="009F6D79">
              <w:rPr>
                <w:color w:val="auto"/>
              </w:rPr>
              <w:t xml:space="preserve"> 2017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77777777" w:rsidR="00014630" w:rsidRPr="00C01834" w:rsidRDefault="00014630" w:rsidP="009E3ED7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3811A8B9" w:rsidR="00A3096F" w:rsidRPr="00EF5B2D" w:rsidRDefault="00326F17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EF5B2D">
              <w:rPr>
                <w:i/>
                <w:iCs/>
                <w:color w:val="auto"/>
                <w:sz w:val="16"/>
                <w:szCs w:val="16"/>
              </w:rPr>
              <w:t>D.W2, D.W3, D.U1, D.U2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4DC8DCED" w:rsidR="00A3096F" w:rsidRPr="00EF5B2D" w:rsidRDefault="006C55B5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EF5B2D">
              <w:rPr>
                <w:i/>
                <w:iCs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46C2074F" w:rsidR="00A3096F" w:rsidRPr="00EF5B2D" w:rsidRDefault="007B34A6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EF5B2D">
              <w:rPr>
                <w:i/>
                <w:iCs/>
                <w:color w:val="auto"/>
                <w:sz w:val="16"/>
                <w:szCs w:val="16"/>
              </w:rPr>
              <w:t>uzyskanie co najmniej 50% +1 maksymalnej liczby możliwych do uzyskania punktów</w:t>
            </w:r>
          </w:p>
        </w:tc>
      </w:tr>
      <w:tr w:rsidR="00A3096F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112615" w14:textId="58207CFE" w:rsidR="00A3096F" w:rsidRPr="00EF5B2D" w:rsidRDefault="00326F17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EF5B2D">
              <w:rPr>
                <w:i/>
                <w:iCs/>
                <w:sz w:val="16"/>
                <w:szCs w:val="16"/>
              </w:rPr>
              <w:lastRenderedPageBreak/>
              <w:t xml:space="preserve">B.W21, C.W4, </w:t>
            </w:r>
            <w:r w:rsidR="004A2784" w:rsidRPr="00EF5B2D">
              <w:rPr>
                <w:i/>
                <w:iCs/>
                <w:sz w:val="16"/>
                <w:szCs w:val="16"/>
              </w:rPr>
              <w:t xml:space="preserve">D.W6, </w:t>
            </w:r>
            <w:r w:rsidR="00C9789C" w:rsidRPr="00EF5B2D">
              <w:rPr>
                <w:i/>
                <w:iCs/>
                <w:color w:val="auto"/>
                <w:sz w:val="16"/>
                <w:szCs w:val="16"/>
              </w:rPr>
              <w:t xml:space="preserve">D.W15, </w:t>
            </w:r>
            <w:r w:rsidRPr="00EF5B2D">
              <w:rPr>
                <w:i/>
                <w:iCs/>
                <w:sz w:val="16"/>
                <w:szCs w:val="16"/>
              </w:rPr>
              <w:t>B.U13, C.U1</w:t>
            </w:r>
            <w:r w:rsidR="001C2CE4" w:rsidRPr="00EF5B2D">
              <w:rPr>
                <w:i/>
                <w:iCs/>
                <w:sz w:val="16"/>
                <w:szCs w:val="16"/>
              </w:rPr>
              <w:t>, D.U6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476BBFAE" w:rsidR="00A3096F" w:rsidRPr="00EF5B2D" w:rsidRDefault="00FA6428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EF5B2D">
              <w:rPr>
                <w:i/>
                <w:iCs/>
                <w:color w:val="auto"/>
                <w:sz w:val="16"/>
                <w:szCs w:val="16"/>
              </w:rPr>
              <w:t>t</w:t>
            </w:r>
            <w:r w:rsidR="00D95D14" w:rsidRPr="00EF5B2D">
              <w:rPr>
                <w:i/>
                <w:iCs/>
                <w:color w:val="auto"/>
                <w:sz w:val="16"/>
                <w:szCs w:val="16"/>
              </w:rPr>
              <w:t>est z zakresu GCP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0FD21" w14:textId="06C23A01" w:rsidR="00A3096F" w:rsidRPr="00EF5B2D" w:rsidRDefault="00FA6428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EF5B2D">
              <w:rPr>
                <w:i/>
                <w:iCs/>
                <w:color w:val="auto"/>
                <w:sz w:val="16"/>
                <w:szCs w:val="16"/>
              </w:rPr>
              <w:t>uzyskanie co najmniej 50% + 1 maksymalnej liczby możliwych do uzyskania punktów/uzyskanie liczby punktów wymaganej do otrzymania certyfikatu GCP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9607BB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244DC4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B718223" w14:textId="77777777" w:rsidR="00244DC4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Wykłady odbywają się w formie online na platformie MS Teams.</w:t>
            </w:r>
          </w:p>
          <w:p w14:paraId="1C9A4166" w14:textId="129A10EF" w:rsidR="00244DC4" w:rsidRPr="005F09B8" w:rsidRDefault="00E87C85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Seminaria</w:t>
            </w:r>
            <w:r w:rsidR="00244DC4">
              <w:rPr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244DC4" w:rsidRPr="005F09B8">
              <w:rPr>
                <w:i/>
                <w:iCs/>
                <w:color w:val="auto"/>
                <w:sz w:val="16"/>
                <w:szCs w:val="16"/>
              </w:rPr>
              <w:t>odbywa</w:t>
            </w:r>
            <w:r w:rsidR="00244DC4">
              <w:rPr>
                <w:i/>
                <w:iCs/>
                <w:color w:val="auto"/>
                <w:sz w:val="16"/>
                <w:szCs w:val="16"/>
              </w:rPr>
              <w:t>ją</w:t>
            </w:r>
            <w:r w:rsidR="00244DC4" w:rsidRPr="005F09B8">
              <w:rPr>
                <w:i/>
                <w:iCs/>
                <w:color w:val="auto"/>
                <w:sz w:val="16"/>
                <w:szCs w:val="16"/>
              </w:rPr>
              <w:t xml:space="preserve"> się w sal</w:t>
            </w:r>
            <w:r w:rsidR="00244DC4">
              <w:rPr>
                <w:i/>
                <w:iCs/>
                <w:color w:val="auto"/>
                <w:sz w:val="16"/>
                <w:szCs w:val="16"/>
              </w:rPr>
              <w:t>ach seminaryjnych wskazanych przez Dziekanat</w:t>
            </w:r>
            <w:r w:rsidR="00244DC4" w:rsidRPr="005F09B8">
              <w:rPr>
                <w:i/>
                <w:iCs/>
                <w:color w:val="auto"/>
                <w:sz w:val="16"/>
                <w:szCs w:val="16"/>
              </w:rPr>
              <w:t xml:space="preserve"> Wydziału Farmaceutycznego WUM.</w:t>
            </w:r>
          </w:p>
          <w:p w14:paraId="64CBA0DF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72E77B67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Wykłady oraz inne materiały do zajęć będą dostępne na uczelnianej platformie MS Teams.</w:t>
            </w:r>
          </w:p>
          <w:p w14:paraId="357609F1" w14:textId="187D1ED9" w:rsidR="00244DC4" w:rsidRDefault="00244DC4" w:rsidP="00244DC4">
            <w:pPr>
              <w:spacing w:after="0" w:line="259" w:lineRule="auto"/>
              <w:ind w:left="0" w:right="235" w:firstLine="0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Warunkiem dopuszczenia do zaliczenia jest obecność na </w:t>
            </w:r>
            <w:r w:rsidR="00E87C85">
              <w:rPr>
                <w:i/>
                <w:iCs/>
                <w:color w:val="auto"/>
                <w:sz w:val="16"/>
                <w:szCs w:val="16"/>
              </w:rPr>
              <w:t>seminariach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. W przypadku nieobecności na zajęciach student jest zobowiązany do przesłania informacji drogą mailową oraz ustalenia formy zaliczenia nieobecności z koordynatorem zajęć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, przy czym nieobecność musi zostać usprawiedliwiona. </w:t>
            </w:r>
          </w:p>
          <w:p w14:paraId="0C682F35" w14:textId="77777777" w:rsidR="00244DC4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Zaliczenie przedmiotu odbywa się stacjonarnie (w formie kontaktowej) w postaci testu obejmującego </w:t>
            </w:r>
            <w:r>
              <w:rPr>
                <w:i/>
                <w:iCs/>
                <w:color w:val="auto"/>
                <w:sz w:val="16"/>
                <w:szCs w:val="16"/>
              </w:rPr>
              <w:t>20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 pytań jednokrotnego wyboru. </w:t>
            </w:r>
          </w:p>
          <w:p w14:paraId="13E7B0C4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3A74FEA2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Ocena końcowa wyliczana jest zgodnie z poniższymi parametrami:</w:t>
            </w:r>
          </w:p>
          <w:p w14:paraId="355965DE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ocena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        kryterium</w:t>
            </w:r>
          </w:p>
          <w:p w14:paraId="41A5C765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2,0 (ndst)  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 &lt;</w:t>
            </w:r>
            <w:r>
              <w:rPr>
                <w:i/>
                <w:iCs/>
                <w:color w:val="auto"/>
                <w:sz w:val="16"/>
                <w:szCs w:val="16"/>
              </w:rPr>
              <w:t>50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,00% 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+1 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&lt;11 poprawnych</w:t>
            </w:r>
          </w:p>
          <w:p w14:paraId="0FDF4E0D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3,0 (dost)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 </w:t>
            </w:r>
            <w:r>
              <w:rPr>
                <w:i/>
                <w:iCs/>
                <w:color w:val="auto"/>
                <w:sz w:val="16"/>
                <w:szCs w:val="16"/>
              </w:rPr>
              <w:t>55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,00-</w:t>
            </w:r>
            <w:r>
              <w:rPr>
                <w:i/>
                <w:iCs/>
                <w:color w:val="auto"/>
                <w:sz w:val="16"/>
                <w:szCs w:val="16"/>
              </w:rPr>
              <w:t>60,00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- 11-12 poprawnych</w:t>
            </w:r>
          </w:p>
          <w:p w14:paraId="04C212D5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3,5 (ddb)               </w:t>
            </w:r>
            <w:r>
              <w:rPr>
                <w:i/>
                <w:iCs/>
                <w:color w:val="auto"/>
                <w:sz w:val="16"/>
                <w:szCs w:val="16"/>
              </w:rPr>
              <w:t>65,00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-7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- 13-14 poprawnych </w:t>
            </w:r>
          </w:p>
          <w:p w14:paraId="24591B25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4,0 (db)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7</w:t>
            </w:r>
            <w:r>
              <w:rPr>
                <w:i/>
                <w:iCs/>
                <w:color w:val="auto"/>
                <w:sz w:val="16"/>
                <w:szCs w:val="16"/>
              </w:rPr>
              <w:t>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0-8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- 15-16 poprawnych</w:t>
            </w:r>
          </w:p>
          <w:p w14:paraId="097322E7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4,5 (pdb)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8</w:t>
            </w:r>
            <w:r>
              <w:rPr>
                <w:i/>
                <w:iCs/>
                <w:color w:val="auto"/>
                <w:sz w:val="16"/>
                <w:szCs w:val="16"/>
              </w:rPr>
              <w:t>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0-9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- 17-18 poprawnych</w:t>
            </w:r>
          </w:p>
          <w:p w14:paraId="210E9DD5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5,0 (bdb)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9</w:t>
            </w:r>
            <w:r>
              <w:rPr>
                <w:i/>
                <w:iCs/>
                <w:color w:val="auto"/>
                <w:sz w:val="16"/>
                <w:szCs w:val="16"/>
              </w:rPr>
              <w:t>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0-100,00%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- 19-20 poprawnych</w:t>
            </w:r>
          </w:p>
          <w:p w14:paraId="48C9CAC5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0074D1F8" w14:textId="77777777" w:rsidR="00244DC4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Studentowi, który nie zaliczył przedmiotu w I terminie przysługuje termin II tzw. poprawkowy (forma pisemna). Przy ocenie zaliczenia poprawkowego obowiązuje system oceniania identyczny jak w przypadku terminu I.</w:t>
            </w:r>
          </w:p>
          <w:p w14:paraId="1CA7C7E0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Zgodnie z § 27 ust. 3 oraz § 28 ust. 1 Regulaminu Studiów, w przypadku uzyskania oceny niedostatecznej w pierwszym i drugim terminie z przedmiotu kończącego się zaliczeniem student ma prawo wystąpić do Dziekana o zgodę na przystąpienie do zaliczenia komisyjnego.</w:t>
            </w:r>
          </w:p>
          <w:p w14:paraId="6BAB995E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31278AF2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W przypadku wysokiego zagrożenia epidemiologicznego dopuszcza się przeprowadzenie ćwiczeń w trybie online na platformie MS Teams (w trakcie zajęć online student jest zobowiązany mieć włączoną kamerę) lub w systemie hybrydowym. Decyzję w tej sprawie każdorazowo podejmuje Kierownik Jednostki.</w:t>
            </w:r>
          </w:p>
          <w:p w14:paraId="550A3569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03AFF2A3" w14:textId="70FD1659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Osoba odpowiedzialna za organizację zajęć: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Dr hab. Monika Czerwińska</w:t>
            </w:r>
          </w:p>
          <w:p w14:paraId="0FFC0380" w14:textId="384F3644" w:rsidR="00244DC4" w:rsidRPr="00A863BA" w:rsidRDefault="00244DC4" w:rsidP="00244DC4">
            <w:pPr>
              <w:spacing w:after="0" w:line="259" w:lineRule="auto"/>
              <w:ind w:left="0" w:right="235" w:firstLine="0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- kontakt drogą elektroniczną: </w:t>
            </w:r>
            <w:r w:rsidRPr="00183450">
              <w:rPr>
                <w:b/>
                <w:bCs/>
                <w:i/>
                <w:iCs/>
                <w:color w:val="auto"/>
                <w:sz w:val="16"/>
                <w:szCs w:val="16"/>
              </w:rPr>
              <w:t>monika</w:t>
            </w:r>
            <w:r w:rsidRPr="00A863BA">
              <w:rPr>
                <w:b/>
                <w:bCs/>
                <w:i/>
                <w:iCs/>
                <w:color w:val="auto"/>
                <w:sz w:val="16"/>
                <w:szCs w:val="16"/>
              </w:rPr>
              <w:t>.czerwinska@wum.edu.pl</w:t>
            </w:r>
          </w:p>
          <w:p w14:paraId="521F0663" w14:textId="77777777" w:rsidR="00244DC4" w:rsidRPr="005F09B8" w:rsidRDefault="00244DC4" w:rsidP="00244DC4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- konsultacje po wcześniejszym umówieniu drogą elektroniczną</w:t>
            </w:r>
          </w:p>
          <w:p w14:paraId="677E6E8D" w14:textId="0B44E959" w:rsidR="00244DC4" w:rsidRPr="00C01834" w:rsidRDefault="00244DC4" w:rsidP="00244DC4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https://biochemfarm.wum.edu.pl/ </w:t>
            </w:r>
          </w:p>
        </w:tc>
      </w:tr>
    </w:tbl>
    <w:p w14:paraId="38D22AA0" w14:textId="0457D596" w:rsidR="00F016D9" w:rsidRPr="00A97D1F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DB89" w14:textId="77777777" w:rsidR="009C5843" w:rsidRDefault="009C5843">
      <w:pPr>
        <w:spacing w:after="0" w:line="240" w:lineRule="auto"/>
      </w:pPr>
      <w:r>
        <w:separator/>
      </w:r>
    </w:p>
  </w:endnote>
  <w:endnote w:type="continuationSeparator" w:id="0">
    <w:p w14:paraId="56AD50C1" w14:textId="77777777" w:rsidR="009C5843" w:rsidRDefault="009C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D5D426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u5VgIAAK4FAAAOAAAAZHJzL2Uyb0RvYy54bWykVNuO2jAQfa/Uf7D8XhLowu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nH3kOd3j5RweHucz+Y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C0YS7lWAgAArgUAAA4AAAAAAAAAAAAAAAAALgIAAGRycy9lMm9Eb2MueG1s&#10;UEsBAi0AFAAGAAgAAAAhAJ+TeYHiAAAADQEAAA8AAAAAAAAAAAAAAAAAsAQAAGRycy9kb3ducmV2&#10;LnhtbFBLBQYAAAAABAAEAPMAAAC/BQAAAAA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501352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QVgIAAK4FAAAOAAAAZHJzL2Uyb0RvYy54bWykVNuO2jAQfa/Uf7D8XhIoy+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jF/yPP5IyUc3h7vZnc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EolMRBWAgAArgUAAA4AAAAAAAAAAAAAAAAALgIAAGRycy9lMm9Eb2MueG1s&#10;UEsBAi0AFAAGAAgAAAAhAJ+TeYHiAAAADQEAAA8AAAAAAAAAAAAAAAAAsAQAAGRycy9kb3ducmV2&#10;LnhtbFBLBQYAAAAABAAEAPMAAAC/BQAAAAA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4395C7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0B1E7" w14:textId="77777777" w:rsidR="009C5843" w:rsidRDefault="009C5843">
      <w:pPr>
        <w:spacing w:after="0" w:line="240" w:lineRule="auto"/>
      </w:pPr>
      <w:r>
        <w:separator/>
      </w:r>
    </w:p>
  </w:footnote>
  <w:footnote w:type="continuationSeparator" w:id="0">
    <w:p w14:paraId="4719C748" w14:textId="77777777" w:rsidR="009C5843" w:rsidRDefault="009C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B1B" w14:textId="011E0098"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EE8B3F" w14:textId="63DBF964"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 w:rsidR="009607BB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9607BB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18 kwietnia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3309EC9E" w14:textId="77777777" w:rsidR="006F1A6D" w:rsidRDefault="006F1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22F"/>
    <w:multiLevelType w:val="hybridMultilevel"/>
    <w:tmpl w:val="3F2E2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3"/>
  </w:num>
  <w:num w:numId="2" w16cid:durableId="2050952466">
    <w:abstractNumId w:val="2"/>
  </w:num>
  <w:num w:numId="3" w16cid:durableId="1419667679">
    <w:abstractNumId w:val="1"/>
  </w:num>
  <w:num w:numId="4" w16cid:durableId="28018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45415"/>
    <w:rsid w:val="00046426"/>
    <w:rsid w:val="00065161"/>
    <w:rsid w:val="00080DD5"/>
    <w:rsid w:val="00081F5D"/>
    <w:rsid w:val="000825E9"/>
    <w:rsid w:val="000931D3"/>
    <w:rsid w:val="000A61A5"/>
    <w:rsid w:val="000B044D"/>
    <w:rsid w:val="000C639F"/>
    <w:rsid w:val="000E7357"/>
    <w:rsid w:val="000F6170"/>
    <w:rsid w:val="0011050E"/>
    <w:rsid w:val="00112BA8"/>
    <w:rsid w:val="001162BC"/>
    <w:rsid w:val="0012724F"/>
    <w:rsid w:val="00133592"/>
    <w:rsid w:val="00136FED"/>
    <w:rsid w:val="00141A71"/>
    <w:rsid w:val="00156B87"/>
    <w:rsid w:val="00160769"/>
    <w:rsid w:val="00161756"/>
    <w:rsid w:val="00165BAC"/>
    <w:rsid w:val="00166769"/>
    <w:rsid w:val="00173C02"/>
    <w:rsid w:val="0017753E"/>
    <w:rsid w:val="00181CEC"/>
    <w:rsid w:val="00183931"/>
    <w:rsid w:val="00192772"/>
    <w:rsid w:val="00194BD6"/>
    <w:rsid w:val="001B3E73"/>
    <w:rsid w:val="001B4491"/>
    <w:rsid w:val="001C2CE4"/>
    <w:rsid w:val="001C30B6"/>
    <w:rsid w:val="001C470B"/>
    <w:rsid w:val="001C78B8"/>
    <w:rsid w:val="001E25C1"/>
    <w:rsid w:val="001E63CB"/>
    <w:rsid w:val="001F028B"/>
    <w:rsid w:val="002066C4"/>
    <w:rsid w:val="00223962"/>
    <w:rsid w:val="00244DC4"/>
    <w:rsid w:val="002453B1"/>
    <w:rsid w:val="002623F0"/>
    <w:rsid w:val="00266141"/>
    <w:rsid w:val="00267E68"/>
    <w:rsid w:val="002924C8"/>
    <w:rsid w:val="002F3B26"/>
    <w:rsid w:val="002F40A4"/>
    <w:rsid w:val="002F674C"/>
    <w:rsid w:val="00320BB9"/>
    <w:rsid w:val="00326F17"/>
    <w:rsid w:val="0033275B"/>
    <w:rsid w:val="0035040A"/>
    <w:rsid w:val="003556B3"/>
    <w:rsid w:val="00382A13"/>
    <w:rsid w:val="003A2874"/>
    <w:rsid w:val="003E289F"/>
    <w:rsid w:val="003E4EAB"/>
    <w:rsid w:val="003F211F"/>
    <w:rsid w:val="00417C37"/>
    <w:rsid w:val="00422398"/>
    <w:rsid w:val="00424272"/>
    <w:rsid w:val="00427F40"/>
    <w:rsid w:val="004302D0"/>
    <w:rsid w:val="004343B9"/>
    <w:rsid w:val="004448F5"/>
    <w:rsid w:val="0044667E"/>
    <w:rsid w:val="004467F4"/>
    <w:rsid w:val="00455F69"/>
    <w:rsid w:val="00470E8F"/>
    <w:rsid w:val="00476558"/>
    <w:rsid w:val="00477321"/>
    <w:rsid w:val="004927AB"/>
    <w:rsid w:val="004954E0"/>
    <w:rsid w:val="004A2784"/>
    <w:rsid w:val="004C611B"/>
    <w:rsid w:val="00562624"/>
    <w:rsid w:val="00570C3E"/>
    <w:rsid w:val="005802A3"/>
    <w:rsid w:val="00580B4A"/>
    <w:rsid w:val="005818F5"/>
    <w:rsid w:val="005863E1"/>
    <w:rsid w:val="00590D10"/>
    <w:rsid w:val="00592BF4"/>
    <w:rsid w:val="005944D4"/>
    <w:rsid w:val="005B52D3"/>
    <w:rsid w:val="005C7BBB"/>
    <w:rsid w:val="005E0370"/>
    <w:rsid w:val="00601A5C"/>
    <w:rsid w:val="0064087A"/>
    <w:rsid w:val="006A442B"/>
    <w:rsid w:val="006A4A29"/>
    <w:rsid w:val="006B012B"/>
    <w:rsid w:val="006B6B0B"/>
    <w:rsid w:val="006C524C"/>
    <w:rsid w:val="006C55B5"/>
    <w:rsid w:val="006D018B"/>
    <w:rsid w:val="006F1A6D"/>
    <w:rsid w:val="0071564C"/>
    <w:rsid w:val="00724BB4"/>
    <w:rsid w:val="00724F33"/>
    <w:rsid w:val="00732CF5"/>
    <w:rsid w:val="00741941"/>
    <w:rsid w:val="0075797E"/>
    <w:rsid w:val="00765126"/>
    <w:rsid w:val="00792FD5"/>
    <w:rsid w:val="007B34A6"/>
    <w:rsid w:val="007D25C0"/>
    <w:rsid w:val="007E0E0B"/>
    <w:rsid w:val="007E3B61"/>
    <w:rsid w:val="007F3A67"/>
    <w:rsid w:val="00804EEF"/>
    <w:rsid w:val="00831117"/>
    <w:rsid w:val="00861D21"/>
    <w:rsid w:val="00877E39"/>
    <w:rsid w:val="008A2F0E"/>
    <w:rsid w:val="008A3825"/>
    <w:rsid w:val="008B2234"/>
    <w:rsid w:val="008D2A3B"/>
    <w:rsid w:val="008D54F5"/>
    <w:rsid w:val="008D77FA"/>
    <w:rsid w:val="008E03DE"/>
    <w:rsid w:val="008E3326"/>
    <w:rsid w:val="008E592D"/>
    <w:rsid w:val="008F65D7"/>
    <w:rsid w:val="00900EC6"/>
    <w:rsid w:val="00901188"/>
    <w:rsid w:val="00927DA2"/>
    <w:rsid w:val="00936FF1"/>
    <w:rsid w:val="009376BD"/>
    <w:rsid w:val="009607BB"/>
    <w:rsid w:val="00996B4B"/>
    <w:rsid w:val="009B1AF4"/>
    <w:rsid w:val="009B62DF"/>
    <w:rsid w:val="009C5843"/>
    <w:rsid w:val="009E271D"/>
    <w:rsid w:val="009E635F"/>
    <w:rsid w:val="009F6016"/>
    <w:rsid w:val="009F6D79"/>
    <w:rsid w:val="00A049A4"/>
    <w:rsid w:val="00A3096F"/>
    <w:rsid w:val="00A42ACC"/>
    <w:rsid w:val="00A63CE6"/>
    <w:rsid w:val="00A9107D"/>
    <w:rsid w:val="00A97D1F"/>
    <w:rsid w:val="00AD2F54"/>
    <w:rsid w:val="00AE0B57"/>
    <w:rsid w:val="00B040E9"/>
    <w:rsid w:val="00B34546"/>
    <w:rsid w:val="00B5341A"/>
    <w:rsid w:val="00B5568B"/>
    <w:rsid w:val="00B8221A"/>
    <w:rsid w:val="00B93718"/>
    <w:rsid w:val="00B973EC"/>
    <w:rsid w:val="00BB0D9A"/>
    <w:rsid w:val="00BB23E6"/>
    <w:rsid w:val="00BC6D84"/>
    <w:rsid w:val="00BD10A9"/>
    <w:rsid w:val="00BE7443"/>
    <w:rsid w:val="00BE7B11"/>
    <w:rsid w:val="00BF74E9"/>
    <w:rsid w:val="00BF7BFD"/>
    <w:rsid w:val="00C01834"/>
    <w:rsid w:val="00C11297"/>
    <w:rsid w:val="00C174A8"/>
    <w:rsid w:val="00C17E6B"/>
    <w:rsid w:val="00C24D59"/>
    <w:rsid w:val="00C41EEC"/>
    <w:rsid w:val="00C52121"/>
    <w:rsid w:val="00C64F71"/>
    <w:rsid w:val="00C75605"/>
    <w:rsid w:val="00C92ACF"/>
    <w:rsid w:val="00C92ECE"/>
    <w:rsid w:val="00C9789C"/>
    <w:rsid w:val="00CA3ACF"/>
    <w:rsid w:val="00CC0D27"/>
    <w:rsid w:val="00CE3CB5"/>
    <w:rsid w:val="00D147A3"/>
    <w:rsid w:val="00D15889"/>
    <w:rsid w:val="00D30182"/>
    <w:rsid w:val="00D3049E"/>
    <w:rsid w:val="00D320E0"/>
    <w:rsid w:val="00D506AD"/>
    <w:rsid w:val="00D56CEB"/>
    <w:rsid w:val="00D63900"/>
    <w:rsid w:val="00D81C4A"/>
    <w:rsid w:val="00D82F71"/>
    <w:rsid w:val="00D928FC"/>
    <w:rsid w:val="00D93A54"/>
    <w:rsid w:val="00D95D14"/>
    <w:rsid w:val="00DE071B"/>
    <w:rsid w:val="00DE14C6"/>
    <w:rsid w:val="00DF679B"/>
    <w:rsid w:val="00E10382"/>
    <w:rsid w:val="00E165E7"/>
    <w:rsid w:val="00E27DDD"/>
    <w:rsid w:val="00E55362"/>
    <w:rsid w:val="00E6064C"/>
    <w:rsid w:val="00E67FDC"/>
    <w:rsid w:val="00E703D7"/>
    <w:rsid w:val="00E70A1B"/>
    <w:rsid w:val="00E80D75"/>
    <w:rsid w:val="00E817B4"/>
    <w:rsid w:val="00E87C85"/>
    <w:rsid w:val="00E952C6"/>
    <w:rsid w:val="00E974CE"/>
    <w:rsid w:val="00EB4E6F"/>
    <w:rsid w:val="00ED462C"/>
    <w:rsid w:val="00ED5EDB"/>
    <w:rsid w:val="00EE24F3"/>
    <w:rsid w:val="00EE6DD6"/>
    <w:rsid w:val="00EF1F36"/>
    <w:rsid w:val="00EF5B2D"/>
    <w:rsid w:val="00F016D9"/>
    <w:rsid w:val="00F133FE"/>
    <w:rsid w:val="00F17487"/>
    <w:rsid w:val="00F234C3"/>
    <w:rsid w:val="00F23FFA"/>
    <w:rsid w:val="00F319CC"/>
    <w:rsid w:val="00F62208"/>
    <w:rsid w:val="00F83A19"/>
    <w:rsid w:val="00F84E30"/>
    <w:rsid w:val="00F953EE"/>
    <w:rsid w:val="00FA6428"/>
    <w:rsid w:val="00FC2D6C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080DD5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244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7692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Anatomia z embriologią</vt:lpstr>
      <vt:lpstr>Anatomia z embriologią</vt:lpstr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Beata Skibińska</cp:lastModifiedBy>
  <cp:revision>2</cp:revision>
  <cp:lastPrinted>2020-02-05T09:19:00Z</cp:lastPrinted>
  <dcterms:created xsi:type="dcterms:W3CDTF">2024-07-04T10:23:00Z</dcterms:created>
  <dcterms:modified xsi:type="dcterms:W3CDTF">2024-07-04T10:23:00Z</dcterms:modified>
</cp:coreProperties>
</file>